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BDA" w:rsidRDefault="00583BDA" w:rsidP="00583BDA">
      <w:pPr>
        <w:spacing w:after="0" w:line="276" w:lineRule="auto"/>
        <w:jc w:val="center"/>
        <w:outlineLvl w:val="0"/>
        <w:rPr>
          <w:rFonts w:eastAsia="Times New Roman" w:cstheme="minorHAnsi"/>
          <w:b/>
          <w:smallCaps/>
          <w:color w:val="000000"/>
          <w:kern w:val="36"/>
          <w:sz w:val="24"/>
          <w:szCs w:val="24"/>
          <w:lang w:eastAsia="fr-FR"/>
        </w:rPr>
      </w:pPr>
    </w:p>
    <w:p w:rsidR="007647CC" w:rsidRPr="00583BDA" w:rsidRDefault="007647CC" w:rsidP="00583BDA">
      <w:pPr>
        <w:spacing w:after="0" w:line="276" w:lineRule="auto"/>
        <w:jc w:val="center"/>
        <w:outlineLvl w:val="0"/>
        <w:rPr>
          <w:rFonts w:eastAsia="Times New Roman" w:cstheme="minorHAnsi"/>
          <w:b/>
          <w:smallCaps/>
          <w:kern w:val="36"/>
          <w:sz w:val="24"/>
          <w:szCs w:val="24"/>
          <w:lang w:eastAsia="fr-FR"/>
        </w:rPr>
      </w:pPr>
      <w:r w:rsidRPr="00583BDA">
        <w:rPr>
          <w:rFonts w:eastAsia="Times New Roman" w:cstheme="minorHAnsi"/>
          <w:b/>
          <w:smallCaps/>
          <w:kern w:val="36"/>
          <w:sz w:val="24"/>
          <w:szCs w:val="24"/>
          <w:lang w:eastAsia="fr-FR"/>
        </w:rPr>
        <w:t>Au XIe siècle déjà, la place des laïcs dans l’Église posait question</w:t>
      </w:r>
    </w:p>
    <w:p w:rsidR="00583BDA" w:rsidRPr="00583BDA" w:rsidRDefault="00583BDA" w:rsidP="00583BDA">
      <w:pPr>
        <w:spacing w:after="0" w:line="276" w:lineRule="auto"/>
        <w:rPr>
          <w:rFonts w:eastAsia="Times New Roman" w:cstheme="minorHAnsi"/>
          <w:sz w:val="24"/>
          <w:szCs w:val="24"/>
          <w:lang w:eastAsia="fr-FR"/>
        </w:rPr>
      </w:pPr>
    </w:p>
    <w:p w:rsidR="007647CC" w:rsidRPr="00583BDA" w:rsidRDefault="00583BDA" w:rsidP="00583BDA">
      <w:pPr>
        <w:spacing w:after="0" w:line="276" w:lineRule="auto"/>
        <w:rPr>
          <w:rFonts w:eastAsia="Times New Roman" w:cstheme="minorHAnsi"/>
          <w:sz w:val="24"/>
          <w:szCs w:val="24"/>
          <w:lang w:eastAsia="fr-FR"/>
        </w:rPr>
      </w:pPr>
      <w:r w:rsidRPr="00583BDA">
        <w:rPr>
          <w:rFonts w:eastAsia="Times New Roman" w:cstheme="minorHAnsi"/>
          <w:sz w:val="24"/>
          <w:szCs w:val="24"/>
          <w:lang w:eastAsia="fr-FR"/>
        </w:rPr>
        <w:t xml:space="preserve">Julien </w:t>
      </w:r>
      <w:proofErr w:type="spellStart"/>
      <w:r w:rsidRPr="00583BDA">
        <w:rPr>
          <w:rFonts w:eastAsia="Times New Roman" w:cstheme="minorHAnsi"/>
          <w:sz w:val="24"/>
          <w:szCs w:val="24"/>
          <w:lang w:eastAsia="fr-FR"/>
        </w:rPr>
        <w:t>Tranié</w:t>
      </w:r>
      <w:proofErr w:type="spellEnd"/>
      <w:r w:rsidRPr="00583BDA">
        <w:rPr>
          <w:rFonts w:eastAsia="Times New Roman" w:cstheme="minorHAnsi"/>
          <w:sz w:val="24"/>
          <w:szCs w:val="24"/>
          <w:lang w:eastAsia="fr-FR"/>
        </w:rPr>
        <w:t>, le 21/11/2018</w:t>
      </w:r>
    </w:p>
    <w:p w:rsidR="007647CC" w:rsidRDefault="00583BDA" w:rsidP="00583BDA">
      <w:pPr>
        <w:spacing w:after="0" w:line="276" w:lineRule="auto"/>
        <w:ind w:right="-105"/>
        <w:textAlignment w:val="center"/>
        <w:rPr>
          <w:rFonts w:eastAsia="Times New Roman" w:cstheme="minorHAnsi"/>
          <w:sz w:val="24"/>
          <w:szCs w:val="24"/>
          <w:lang w:eastAsia="fr-FR"/>
        </w:rPr>
      </w:pPr>
      <w:r>
        <w:rPr>
          <w:rFonts w:eastAsia="Times New Roman" w:cstheme="minorHAnsi"/>
          <w:sz w:val="24"/>
          <w:szCs w:val="24"/>
          <w:lang w:eastAsia="fr-FR"/>
        </w:rPr>
        <w:t>La CROIX</w:t>
      </w:r>
    </w:p>
    <w:p w:rsidR="00583BDA" w:rsidRPr="00583BDA" w:rsidRDefault="00583BDA" w:rsidP="00583BDA">
      <w:pPr>
        <w:spacing w:after="0" w:line="276" w:lineRule="auto"/>
        <w:ind w:right="-105"/>
        <w:textAlignment w:val="center"/>
        <w:rPr>
          <w:rFonts w:eastAsia="Times New Roman" w:cstheme="minorHAnsi"/>
          <w:sz w:val="24"/>
          <w:szCs w:val="24"/>
          <w:lang w:eastAsia="fr-FR"/>
        </w:rPr>
      </w:pPr>
      <w:bookmarkStart w:id="0" w:name="_GoBack"/>
      <w:bookmarkEnd w:id="0"/>
    </w:p>
    <w:p w:rsidR="007647CC" w:rsidRPr="00583BDA" w:rsidRDefault="007647CC" w:rsidP="00583BDA">
      <w:pPr>
        <w:spacing w:after="0" w:line="276" w:lineRule="auto"/>
        <w:jc w:val="both"/>
        <w:outlineLvl w:val="2"/>
        <w:rPr>
          <w:rFonts w:eastAsia="Times New Roman" w:cstheme="minorHAnsi"/>
          <w:sz w:val="24"/>
          <w:szCs w:val="24"/>
          <w:lang w:eastAsia="fr-FR"/>
        </w:rPr>
      </w:pPr>
      <w:r w:rsidRPr="00583BDA">
        <w:rPr>
          <w:rFonts w:eastAsia="Times New Roman" w:cstheme="minorHAnsi"/>
          <w:sz w:val="24"/>
          <w:szCs w:val="24"/>
          <w:lang w:eastAsia="fr-FR"/>
        </w:rPr>
        <w:t xml:space="preserve">Dans une déclaration récente au mensuel allemand Vatican </w:t>
      </w:r>
      <w:proofErr w:type="spellStart"/>
      <w:r w:rsidRPr="00583BDA">
        <w:rPr>
          <w:rFonts w:eastAsia="Times New Roman" w:cstheme="minorHAnsi"/>
          <w:sz w:val="24"/>
          <w:szCs w:val="24"/>
          <w:lang w:eastAsia="fr-FR"/>
        </w:rPr>
        <w:t>Magazin</w:t>
      </w:r>
      <w:proofErr w:type="spellEnd"/>
      <w:r w:rsidRPr="00583BDA">
        <w:rPr>
          <w:rFonts w:eastAsia="Times New Roman" w:cstheme="minorHAnsi"/>
          <w:sz w:val="24"/>
          <w:szCs w:val="24"/>
          <w:lang w:eastAsia="fr-FR"/>
        </w:rPr>
        <w:t xml:space="preserve">, le cardinal Walter </w:t>
      </w:r>
      <w:proofErr w:type="spellStart"/>
      <w:r w:rsidRPr="00583BDA">
        <w:rPr>
          <w:rFonts w:eastAsia="Times New Roman" w:cstheme="minorHAnsi"/>
          <w:sz w:val="24"/>
          <w:szCs w:val="24"/>
          <w:lang w:eastAsia="fr-FR"/>
        </w:rPr>
        <w:t>Brandmüller</w:t>
      </w:r>
      <w:proofErr w:type="spellEnd"/>
      <w:r w:rsidRPr="00583BDA">
        <w:rPr>
          <w:rFonts w:eastAsia="Times New Roman" w:cstheme="minorHAnsi"/>
          <w:sz w:val="24"/>
          <w:szCs w:val="24"/>
          <w:lang w:eastAsia="fr-FR"/>
        </w:rPr>
        <w:t xml:space="preserve"> a expliqué que la situation actuelle de l’Église était « comparable à celle des XIe et XIIe siècles ».</w:t>
      </w:r>
    </w:p>
    <w:p w:rsidR="007647CC" w:rsidRPr="00583BDA" w:rsidRDefault="007647CC" w:rsidP="00583BDA">
      <w:pPr>
        <w:spacing w:after="0" w:line="276" w:lineRule="auto"/>
        <w:jc w:val="both"/>
        <w:outlineLvl w:val="2"/>
        <w:rPr>
          <w:rFonts w:eastAsia="Times New Roman" w:cstheme="minorHAnsi"/>
          <w:sz w:val="24"/>
          <w:szCs w:val="24"/>
          <w:lang w:eastAsia="fr-FR"/>
        </w:rPr>
      </w:pPr>
      <w:r w:rsidRPr="00583BDA">
        <w:rPr>
          <w:rFonts w:eastAsia="Times New Roman" w:cstheme="minorHAnsi"/>
          <w:sz w:val="24"/>
          <w:szCs w:val="24"/>
          <w:lang w:eastAsia="fr-FR"/>
        </w:rPr>
        <w:t>Par-delà cette déclaration, la période dite de la réforme grégorienne est un moment clé pour comprendre la relation entre l’Église des clercs et les laïcs.</w:t>
      </w:r>
    </w:p>
    <w:p w:rsidR="00583BDA" w:rsidRDefault="00583BDA" w:rsidP="00583BDA">
      <w:pPr>
        <w:spacing w:after="0" w:line="276" w:lineRule="auto"/>
        <w:jc w:val="both"/>
        <w:rPr>
          <w:rFonts w:eastAsia="Times New Roman" w:cstheme="minorHAnsi"/>
          <w:b/>
          <w:sz w:val="24"/>
          <w:szCs w:val="24"/>
          <w:lang w:eastAsia="fr-FR"/>
        </w:rPr>
      </w:pPr>
    </w:p>
    <w:p w:rsidR="00583BDA" w:rsidRPr="00583BDA" w:rsidRDefault="00583BDA" w:rsidP="00583BDA">
      <w:pPr>
        <w:spacing w:after="0" w:line="276" w:lineRule="auto"/>
        <w:jc w:val="both"/>
        <w:rPr>
          <w:rFonts w:eastAsia="Times New Roman" w:cstheme="minorHAnsi"/>
          <w:b/>
          <w:sz w:val="24"/>
          <w:szCs w:val="24"/>
          <w:lang w:eastAsia="fr-FR"/>
        </w:rPr>
      </w:pPr>
      <w:r w:rsidRPr="00583BDA">
        <w:rPr>
          <w:rFonts w:eastAsia="Times New Roman" w:cstheme="minorHAnsi"/>
          <w:b/>
          <w:sz w:val="24"/>
          <w:szCs w:val="24"/>
          <w:lang w:eastAsia="fr-FR"/>
        </w:rPr>
        <w:t>Comparaison n’est pas raison</w:t>
      </w:r>
    </w:p>
    <w:p w:rsidR="007647CC" w:rsidRPr="00583BDA" w:rsidRDefault="007647CC" w:rsidP="00583BDA">
      <w:pPr>
        <w:spacing w:after="0" w:line="276" w:lineRule="auto"/>
        <w:jc w:val="both"/>
        <w:rPr>
          <w:rFonts w:eastAsia="Times New Roman" w:cstheme="minorHAnsi"/>
          <w:sz w:val="24"/>
          <w:szCs w:val="24"/>
          <w:lang w:eastAsia="fr-FR"/>
        </w:rPr>
      </w:pPr>
      <w:r w:rsidRPr="00583BDA">
        <w:rPr>
          <w:rFonts w:eastAsia="Times New Roman" w:cstheme="minorHAnsi"/>
          <w:sz w:val="24"/>
          <w:szCs w:val="24"/>
          <w:lang w:eastAsia="fr-FR"/>
        </w:rPr>
        <w:t>Ceci dit, dans l’histoire millénaire de l’Église, la période dite de la réforme grégorienne, plus vaste que le seul pontificat de Grégoire VII (1073-1085) qui lui a donné son nom, donne quelques clés d’analyse pour regarder en face la crise actuelle que vit l’Église.</w:t>
      </w:r>
    </w:p>
    <w:p w:rsidR="007647CC" w:rsidRPr="00583BDA" w:rsidRDefault="007647CC" w:rsidP="00583BDA">
      <w:pPr>
        <w:spacing w:after="0" w:line="276" w:lineRule="auto"/>
        <w:jc w:val="both"/>
        <w:rPr>
          <w:rFonts w:eastAsia="Times New Roman" w:cstheme="minorHAnsi"/>
          <w:sz w:val="24"/>
          <w:szCs w:val="24"/>
          <w:lang w:eastAsia="fr-FR"/>
        </w:rPr>
      </w:pPr>
      <w:r w:rsidRPr="00583BDA">
        <w:rPr>
          <w:rFonts w:eastAsia="Times New Roman" w:cstheme="minorHAnsi"/>
          <w:sz w:val="24"/>
          <w:szCs w:val="24"/>
          <w:lang w:eastAsia="fr-FR"/>
        </w:rPr>
        <w:t xml:space="preserve">Dans une interview au mensuel allemand </w:t>
      </w:r>
      <w:r w:rsidRPr="00583BDA">
        <w:rPr>
          <w:rFonts w:eastAsia="Times New Roman" w:cstheme="minorHAnsi"/>
          <w:i/>
          <w:iCs/>
          <w:sz w:val="24"/>
          <w:szCs w:val="24"/>
          <w:lang w:eastAsia="fr-FR"/>
        </w:rPr>
        <w:t xml:space="preserve">Vatican </w:t>
      </w:r>
      <w:proofErr w:type="spellStart"/>
      <w:r w:rsidRPr="00583BDA">
        <w:rPr>
          <w:rFonts w:eastAsia="Times New Roman" w:cstheme="minorHAnsi"/>
          <w:i/>
          <w:iCs/>
          <w:sz w:val="24"/>
          <w:szCs w:val="24"/>
          <w:lang w:eastAsia="fr-FR"/>
        </w:rPr>
        <w:t>Magazin</w:t>
      </w:r>
      <w:proofErr w:type="spellEnd"/>
      <w:r w:rsidRPr="00583BDA">
        <w:rPr>
          <w:rFonts w:eastAsia="Times New Roman" w:cstheme="minorHAnsi"/>
          <w:sz w:val="24"/>
          <w:szCs w:val="24"/>
          <w:lang w:eastAsia="fr-FR"/>
        </w:rPr>
        <w:t xml:space="preserve">, le cardinal Walter </w:t>
      </w:r>
      <w:proofErr w:type="spellStart"/>
      <w:r w:rsidRPr="00583BDA">
        <w:rPr>
          <w:rFonts w:eastAsia="Times New Roman" w:cstheme="minorHAnsi"/>
          <w:sz w:val="24"/>
          <w:szCs w:val="24"/>
          <w:lang w:eastAsia="fr-FR"/>
        </w:rPr>
        <w:t>Brandmüller</w:t>
      </w:r>
      <w:proofErr w:type="spellEnd"/>
      <w:r w:rsidRPr="00583BDA">
        <w:rPr>
          <w:rFonts w:eastAsia="Times New Roman" w:cstheme="minorHAnsi"/>
          <w:sz w:val="24"/>
          <w:szCs w:val="24"/>
          <w:lang w:eastAsia="fr-FR"/>
        </w:rPr>
        <w:t xml:space="preserve">, l’un des quatre cardinaux signataires des </w:t>
      </w:r>
      <w:proofErr w:type="spellStart"/>
      <w:r w:rsidRPr="00583BDA">
        <w:rPr>
          <w:rFonts w:eastAsia="Times New Roman" w:cstheme="minorHAnsi"/>
          <w:sz w:val="24"/>
          <w:szCs w:val="24"/>
          <w:lang w:eastAsia="fr-FR"/>
        </w:rPr>
        <w:t>dubia</w:t>
      </w:r>
      <w:proofErr w:type="spellEnd"/>
      <w:r w:rsidRPr="00583BDA">
        <w:rPr>
          <w:rFonts w:eastAsia="Times New Roman" w:cstheme="minorHAnsi"/>
          <w:sz w:val="24"/>
          <w:szCs w:val="24"/>
          <w:lang w:eastAsia="fr-FR"/>
        </w:rPr>
        <w:t xml:space="preserve"> qui remettaient en cause les conclusions du pape François sur la famille, a expliqué que la situation actuelle de l’Église était </w:t>
      </w:r>
      <w:r w:rsidRPr="00583BDA">
        <w:rPr>
          <w:rFonts w:eastAsia="Times New Roman" w:cstheme="minorHAnsi"/>
          <w:i/>
          <w:iCs/>
          <w:sz w:val="24"/>
          <w:szCs w:val="24"/>
          <w:lang w:eastAsia="fr-FR"/>
        </w:rPr>
        <w:t>« comparable à celle des XI</w:t>
      </w:r>
      <w:r w:rsidRPr="00583BDA">
        <w:rPr>
          <w:rFonts w:eastAsia="Times New Roman" w:cstheme="minorHAnsi"/>
          <w:i/>
          <w:iCs/>
          <w:sz w:val="24"/>
          <w:szCs w:val="24"/>
          <w:vertAlign w:val="superscript"/>
          <w:lang w:eastAsia="fr-FR"/>
        </w:rPr>
        <w:t>e</w:t>
      </w:r>
      <w:r w:rsidRPr="00583BDA">
        <w:rPr>
          <w:rFonts w:eastAsia="Times New Roman" w:cstheme="minorHAnsi"/>
          <w:i/>
          <w:iCs/>
          <w:sz w:val="24"/>
          <w:szCs w:val="24"/>
          <w:lang w:eastAsia="fr-FR"/>
        </w:rPr>
        <w:t xml:space="preserve"> et XII</w:t>
      </w:r>
      <w:r w:rsidRPr="00583BDA">
        <w:rPr>
          <w:rFonts w:eastAsia="Times New Roman" w:cstheme="minorHAnsi"/>
          <w:i/>
          <w:iCs/>
          <w:sz w:val="24"/>
          <w:szCs w:val="24"/>
          <w:vertAlign w:val="superscript"/>
          <w:lang w:eastAsia="fr-FR"/>
        </w:rPr>
        <w:t>e</w:t>
      </w:r>
      <w:r w:rsidRPr="00583BDA">
        <w:rPr>
          <w:rFonts w:eastAsia="Times New Roman" w:cstheme="minorHAnsi"/>
          <w:i/>
          <w:iCs/>
          <w:sz w:val="24"/>
          <w:szCs w:val="24"/>
          <w:lang w:eastAsia="fr-FR"/>
        </w:rPr>
        <w:t> siècles »</w:t>
      </w:r>
      <w:r w:rsidRPr="00583BDA">
        <w:rPr>
          <w:rFonts w:eastAsia="Times New Roman" w:cstheme="minorHAnsi"/>
          <w:sz w:val="24"/>
          <w:szCs w:val="24"/>
          <w:lang w:eastAsia="fr-FR"/>
        </w:rPr>
        <w:t>. Il explique notamment que le pouvoir ecclésiastique était alors détenu par une petite caste de laïcs riches et puissants qui ont laissé se développer dans le clergé des mœurs dissolues. S’ensuivirent des difficultés pour l’Église à annoncer réellement l’Évangile.</w:t>
      </w:r>
    </w:p>
    <w:p w:rsidR="00583BDA" w:rsidRPr="00583BDA" w:rsidRDefault="00583BDA" w:rsidP="00583BDA">
      <w:pPr>
        <w:spacing w:after="0" w:line="276" w:lineRule="auto"/>
        <w:jc w:val="both"/>
        <w:rPr>
          <w:rFonts w:eastAsia="Times New Roman" w:cstheme="minorHAnsi"/>
          <w:sz w:val="24"/>
          <w:szCs w:val="24"/>
          <w:lang w:eastAsia="fr-FR"/>
        </w:rPr>
      </w:pPr>
    </w:p>
    <w:p w:rsidR="007647CC" w:rsidRPr="00583BDA" w:rsidRDefault="007647CC" w:rsidP="00583BDA">
      <w:pPr>
        <w:spacing w:after="0" w:line="276" w:lineRule="auto"/>
        <w:jc w:val="both"/>
        <w:outlineLvl w:val="2"/>
        <w:rPr>
          <w:rFonts w:eastAsia="Times New Roman" w:cstheme="minorHAnsi"/>
          <w:b/>
          <w:sz w:val="24"/>
          <w:szCs w:val="24"/>
          <w:lang w:eastAsia="fr-FR"/>
        </w:rPr>
      </w:pPr>
      <w:r w:rsidRPr="00583BDA">
        <w:rPr>
          <w:rFonts w:eastAsia="Times New Roman" w:cstheme="minorHAnsi"/>
          <w:b/>
          <w:sz w:val="24"/>
          <w:szCs w:val="24"/>
          <w:lang w:eastAsia="fr-FR"/>
        </w:rPr>
        <w:t>Se détacher du pouvoir des laïcs</w:t>
      </w:r>
    </w:p>
    <w:p w:rsidR="007647CC" w:rsidRPr="00583BDA" w:rsidRDefault="007647CC" w:rsidP="00583BDA">
      <w:pPr>
        <w:spacing w:after="0" w:line="276" w:lineRule="auto"/>
        <w:jc w:val="both"/>
        <w:rPr>
          <w:rFonts w:eastAsia="Times New Roman" w:cstheme="minorHAnsi"/>
          <w:sz w:val="24"/>
          <w:szCs w:val="24"/>
          <w:lang w:eastAsia="fr-FR"/>
        </w:rPr>
      </w:pPr>
      <w:r w:rsidRPr="00583BDA">
        <w:rPr>
          <w:rFonts w:eastAsia="Times New Roman" w:cstheme="minorHAnsi"/>
          <w:sz w:val="24"/>
          <w:szCs w:val="24"/>
          <w:lang w:eastAsia="fr-FR"/>
        </w:rPr>
        <w:t xml:space="preserve">En effet, à cette époque, deux pratiques entravaient le pouvoir réel de l’Église : la </w:t>
      </w:r>
      <w:hyperlink r:id="rId6" w:tgtFrame="_blank" w:history="1">
        <w:r w:rsidRPr="00583BDA">
          <w:rPr>
            <w:rFonts w:eastAsia="Times New Roman" w:cstheme="minorHAnsi"/>
            <w:sz w:val="24"/>
            <w:szCs w:val="24"/>
            <w:u w:val="single"/>
            <w:lang w:eastAsia="fr-FR"/>
          </w:rPr>
          <w:t>simonie</w:t>
        </w:r>
      </w:hyperlink>
      <w:r w:rsidRPr="00583BDA">
        <w:rPr>
          <w:rFonts w:eastAsia="Times New Roman" w:cstheme="minorHAnsi"/>
          <w:sz w:val="24"/>
          <w:szCs w:val="24"/>
          <w:lang w:eastAsia="fr-FR"/>
        </w:rPr>
        <w:t xml:space="preserve"> et le nicolaïsme. Elles ont toutes deux été interdites sous le pontificat de Léon IX (1049-1054).</w:t>
      </w:r>
    </w:p>
    <w:p w:rsidR="007647CC" w:rsidRPr="00583BDA" w:rsidRDefault="007647CC" w:rsidP="00583BDA">
      <w:pPr>
        <w:spacing w:after="0" w:line="276" w:lineRule="auto"/>
        <w:jc w:val="both"/>
        <w:rPr>
          <w:rFonts w:eastAsia="Times New Roman" w:cstheme="minorHAnsi"/>
          <w:sz w:val="24"/>
          <w:szCs w:val="24"/>
          <w:lang w:eastAsia="fr-FR"/>
        </w:rPr>
      </w:pPr>
      <w:r w:rsidRPr="00583BDA">
        <w:rPr>
          <w:rFonts w:eastAsia="Times New Roman" w:cstheme="minorHAnsi"/>
          <w:sz w:val="24"/>
          <w:szCs w:val="24"/>
          <w:lang w:eastAsia="fr-FR"/>
        </w:rPr>
        <w:t>La simonie désigne le fait de pouvoir acheter des charges ou sacrements ecclésiastiques. Le nicolaïsme, lui, est le mariage ou le concubinage des prêtres qui était autorisé en dehors des ordres majeurs durant toute la première partie du Moyen Âge. Ces deux pratiques donnaient finalement une grande importance aux laïcs. D’une part, le mariage des prêtres entraînait la naissance d’héritiers qui revendiquaient ensuite dans leur patrimoine les biens de leur père. D’autre part, la simonie permettait aux familles fortunées d’acheter un certain nombre de hautes fonctions ecclésiastiques et d’ainsi posséder une forme d’influence sur l’Église.</w:t>
      </w:r>
    </w:p>
    <w:p w:rsidR="007647CC" w:rsidRPr="00583BDA" w:rsidRDefault="007647CC" w:rsidP="00583BDA">
      <w:pPr>
        <w:spacing w:after="0" w:line="276" w:lineRule="auto"/>
        <w:jc w:val="both"/>
        <w:rPr>
          <w:rFonts w:eastAsia="Times New Roman" w:cstheme="minorHAnsi"/>
          <w:sz w:val="24"/>
          <w:szCs w:val="24"/>
          <w:lang w:eastAsia="fr-FR"/>
        </w:rPr>
      </w:pPr>
    </w:p>
    <w:p w:rsidR="007647CC" w:rsidRPr="00583BDA" w:rsidRDefault="007647CC" w:rsidP="00583BDA">
      <w:pPr>
        <w:spacing w:after="0" w:line="276" w:lineRule="auto"/>
        <w:jc w:val="both"/>
        <w:rPr>
          <w:rFonts w:eastAsia="Times New Roman" w:cstheme="minorHAnsi"/>
          <w:sz w:val="24"/>
          <w:szCs w:val="24"/>
          <w:lang w:eastAsia="fr-FR"/>
        </w:rPr>
      </w:pPr>
      <w:r w:rsidRPr="00583BDA">
        <w:rPr>
          <w:rFonts w:eastAsia="Times New Roman" w:cstheme="minorHAnsi"/>
          <w:i/>
          <w:iCs/>
          <w:sz w:val="24"/>
          <w:szCs w:val="24"/>
          <w:lang w:eastAsia="fr-FR"/>
        </w:rPr>
        <w:t>« La question de la place des laïcs dans l’Église est en fait le dénominateur commun au XI</w:t>
      </w:r>
      <w:r w:rsidRPr="00583BDA">
        <w:rPr>
          <w:rFonts w:eastAsia="Times New Roman" w:cstheme="minorHAnsi"/>
          <w:i/>
          <w:iCs/>
          <w:sz w:val="24"/>
          <w:szCs w:val="24"/>
          <w:vertAlign w:val="superscript"/>
          <w:lang w:eastAsia="fr-FR"/>
        </w:rPr>
        <w:t>e</w:t>
      </w:r>
      <w:r w:rsidRPr="00583BDA">
        <w:rPr>
          <w:rFonts w:eastAsia="Times New Roman" w:cstheme="minorHAnsi"/>
          <w:i/>
          <w:iCs/>
          <w:sz w:val="24"/>
          <w:szCs w:val="24"/>
          <w:lang w:eastAsia="fr-FR"/>
        </w:rPr>
        <w:t xml:space="preserve"> et XXI</w:t>
      </w:r>
      <w:r w:rsidRPr="00583BDA">
        <w:rPr>
          <w:rFonts w:eastAsia="Times New Roman" w:cstheme="minorHAnsi"/>
          <w:i/>
          <w:iCs/>
          <w:sz w:val="24"/>
          <w:szCs w:val="24"/>
          <w:vertAlign w:val="superscript"/>
          <w:lang w:eastAsia="fr-FR"/>
        </w:rPr>
        <w:t>e</w:t>
      </w:r>
      <w:r w:rsidRPr="00583BDA">
        <w:rPr>
          <w:rFonts w:eastAsia="Times New Roman" w:cstheme="minorHAnsi"/>
          <w:i/>
          <w:iCs/>
          <w:sz w:val="24"/>
          <w:szCs w:val="24"/>
          <w:lang w:eastAsia="fr-FR"/>
        </w:rPr>
        <w:t> siècle »</w:t>
      </w:r>
      <w:r w:rsidRPr="00583BDA">
        <w:rPr>
          <w:rFonts w:eastAsia="Times New Roman" w:cstheme="minorHAnsi"/>
          <w:sz w:val="24"/>
          <w:szCs w:val="24"/>
          <w:lang w:eastAsia="fr-FR"/>
        </w:rPr>
        <w:t xml:space="preserve"> explique Valérie </w:t>
      </w:r>
      <w:proofErr w:type="spellStart"/>
      <w:r w:rsidRPr="00583BDA">
        <w:rPr>
          <w:rFonts w:eastAsia="Times New Roman" w:cstheme="minorHAnsi"/>
          <w:sz w:val="24"/>
          <w:szCs w:val="24"/>
          <w:lang w:eastAsia="fr-FR"/>
        </w:rPr>
        <w:t>Theis</w:t>
      </w:r>
      <w:proofErr w:type="spellEnd"/>
      <w:r w:rsidRPr="00583BDA">
        <w:rPr>
          <w:rFonts w:eastAsia="Times New Roman" w:cstheme="minorHAnsi"/>
          <w:sz w:val="24"/>
          <w:szCs w:val="24"/>
          <w:lang w:eastAsia="fr-FR"/>
        </w:rPr>
        <w:t>. Car si l’Église a interdit le mariage des prêtres, c’est essentiellement pour bouter les laïcs hors de positions fortes dans l’Église, plus que pour des questions morales.</w:t>
      </w:r>
    </w:p>
    <w:p w:rsidR="007647CC" w:rsidRPr="00583BDA" w:rsidRDefault="007647CC" w:rsidP="00583BDA">
      <w:pPr>
        <w:spacing w:after="0" w:line="276" w:lineRule="auto"/>
        <w:jc w:val="both"/>
        <w:rPr>
          <w:rFonts w:eastAsia="Times New Roman" w:cstheme="minorHAnsi"/>
          <w:sz w:val="24"/>
          <w:szCs w:val="24"/>
          <w:lang w:eastAsia="fr-FR"/>
        </w:rPr>
      </w:pPr>
      <w:r w:rsidRPr="00583BDA">
        <w:rPr>
          <w:rFonts w:eastAsia="Times New Roman" w:cstheme="minorHAnsi"/>
          <w:sz w:val="24"/>
          <w:szCs w:val="24"/>
          <w:lang w:eastAsia="fr-FR"/>
        </w:rPr>
        <w:t xml:space="preserve">La suppression du nicolaïsme et la décision de sa stricte application par le pape Grégoire VII ont mis du temps à être appliquées et ont suscité de vives résistances. </w:t>
      </w:r>
      <w:r w:rsidRPr="00583BDA">
        <w:rPr>
          <w:rFonts w:eastAsia="Times New Roman" w:cstheme="minorHAnsi"/>
          <w:i/>
          <w:iCs/>
          <w:sz w:val="24"/>
          <w:szCs w:val="24"/>
          <w:lang w:eastAsia="fr-FR"/>
        </w:rPr>
        <w:t>« À Paris, les clercs déclarèrent que les ordres du pape étaient absurdes et qu’on ne pouvait s’y conformer »</w:t>
      </w:r>
      <w:r w:rsidRPr="00583BDA">
        <w:rPr>
          <w:rFonts w:eastAsia="Times New Roman" w:cstheme="minorHAnsi"/>
          <w:sz w:val="24"/>
          <w:szCs w:val="24"/>
          <w:lang w:eastAsia="fr-FR"/>
        </w:rPr>
        <w:t xml:space="preserve"> détaille Valérie </w:t>
      </w:r>
      <w:proofErr w:type="spellStart"/>
      <w:r w:rsidRPr="00583BDA">
        <w:rPr>
          <w:rFonts w:eastAsia="Times New Roman" w:cstheme="minorHAnsi"/>
          <w:sz w:val="24"/>
          <w:szCs w:val="24"/>
          <w:lang w:eastAsia="fr-FR"/>
        </w:rPr>
        <w:t>Theis</w:t>
      </w:r>
      <w:proofErr w:type="spellEnd"/>
      <w:r w:rsidRPr="00583BDA">
        <w:rPr>
          <w:rFonts w:eastAsia="Times New Roman" w:cstheme="minorHAnsi"/>
          <w:sz w:val="24"/>
          <w:szCs w:val="24"/>
          <w:lang w:eastAsia="fr-FR"/>
        </w:rPr>
        <w:t xml:space="preserve"> qui confirme que la réforme grégorienne fut une véritable révolution qui se fit dans la douleur.</w:t>
      </w:r>
    </w:p>
    <w:p w:rsidR="00583BDA" w:rsidRPr="00583BDA" w:rsidRDefault="00583BDA" w:rsidP="00583BDA">
      <w:pPr>
        <w:spacing w:after="0" w:line="276" w:lineRule="auto"/>
        <w:jc w:val="both"/>
        <w:rPr>
          <w:rFonts w:eastAsia="Times New Roman" w:cstheme="minorHAnsi"/>
          <w:sz w:val="24"/>
          <w:szCs w:val="24"/>
          <w:lang w:eastAsia="fr-FR"/>
        </w:rPr>
      </w:pPr>
    </w:p>
    <w:p w:rsidR="00583BDA" w:rsidRPr="00583BDA" w:rsidRDefault="00583BDA" w:rsidP="00583BDA">
      <w:pPr>
        <w:spacing w:after="0" w:line="276" w:lineRule="auto"/>
        <w:jc w:val="both"/>
        <w:rPr>
          <w:rFonts w:eastAsia="Times New Roman" w:cstheme="minorHAnsi"/>
          <w:sz w:val="24"/>
          <w:szCs w:val="24"/>
          <w:lang w:eastAsia="fr-FR"/>
        </w:rPr>
      </w:pPr>
    </w:p>
    <w:p w:rsidR="007647CC" w:rsidRPr="00583BDA" w:rsidRDefault="007647CC" w:rsidP="00583BDA">
      <w:pPr>
        <w:spacing w:after="0" w:line="276" w:lineRule="auto"/>
        <w:jc w:val="both"/>
        <w:outlineLvl w:val="2"/>
        <w:rPr>
          <w:rFonts w:eastAsia="Times New Roman" w:cstheme="minorHAnsi"/>
          <w:b/>
          <w:sz w:val="24"/>
          <w:szCs w:val="24"/>
          <w:lang w:eastAsia="fr-FR"/>
        </w:rPr>
      </w:pPr>
      <w:r w:rsidRPr="00583BDA">
        <w:rPr>
          <w:rFonts w:eastAsia="Times New Roman" w:cstheme="minorHAnsi"/>
          <w:b/>
          <w:sz w:val="24"/>
          <w:szCs w:val="24"/>
          <w:lang w:eastAsia="fr-FR"/>
        </w:rPr>
        <w:t>Une Église qui savait changer les règles</w:t>
      </w:r>
    </w:p>
    <w:p w:rsidR="007647CC" w:rsidRPr="00583BDA" w:rsidRDefault="007647CC" w:rsidP="00583BDA">
      <w:pPr>
        <w:spacing w:after="0" w:line="276" w:lineRule="auto"/>
        <w:jc w:val="both"/>
        <w:rPr>
          <w:rFonts w:eastAsia="Times New Roman" w:cstheme="minorHAnsi"/>
          <w:sz w:val="24"/>
          <w:szCs w:val="24"/>
          <w:lang w:eastAsia="fr-FR"/>
        </w:rPr>
      </w:pPr>
      <w:r w:rsidRPr="00583BDA">
        <w:rPr>
          <w:rFonts w:eastAsia="Times New Roman" w:cstheme="minorHAnsi"/>
          <w:sz w:val="24"/>
          <w:szCs w:val="24"/>
          <w:lang w:eastAsia="fr-FR"/>
        </w:rPr>
        <w:t xml:space="preserve">Vivons-nous alors aujourd’hui une contre-réforme grégorienne avec le pontificat du pape François ? </w:t>
      </w:r>
      <w:r w:rsidRPr="00583BDA">
        <w:rPr>
          <w:rFonts w:eastAsia="Times New Roman" w:cstheme="minorHAnsi"/>
          <w:i/>
          <w:iCs/>
          <w:sz w:val="24"/>
          <w:szCs w:val="24"/>
          <w:lang w:eastAsia="fr-FR"/>
        </w:rPr>
        <w:t xml:space="preserve">« Il est vrai qu’en parlant du cléricalisme comme du mal de l’Église, le pape interroge ce qui a été imposé depuis 1 000 ans dans l’Église, à savoir une institution dirigée par les clercs » </w:t>
      </w:r>
      <w:r w:rsidRPr="00583BDA">
        <w:rPr>
          <w:rFonts w:eastAsia="Times New Roman" w:cstheme="minorHAnsi"/>
          <w:sz w:val="24"/>
          <w:szCs w:val="24"/>
          <w:lang w:eastAsia="fr-FR"/>
        </w:rPr>
        <w:t xml:space="preserve">analyse Valérie </w:t>
      </w:r>
      <w:proofErr w:type="spellStart"/>
      <w:r w:rsidRPr="00583BDA">
        <w:rPr>
          <w:rFonts w:eastAsia="Times New Roman" w:cstheme="minorHAnsi"/>
          <w:sz w:val="24"/>
          <w:szCs w:val="24"/>
          <w:lang w:eastAsia="fr-FR"/>
        </w:rPr>
        <w:t>Theis</w:t>
      </w:r>
      <w:proofErr w:type="spellEnd"/>
      <w:r w:rsidRPr="00583BDA">
        <w:rPr>
          <w:rFonts w:eastAsia="Times New Roman" w:cstheme="minorHAnsi"/>
          <w:sz w:val="24"/>
          <w:szCs w:val="24"/>
          <w:lang w:eastAsia="fr-FR"/>
        </w:rPr>
        <w:t>.</w:t>
      </w:r>
    </w:p>
    <w:p w:rsidR="007647CC" w:rsidRPr="00583BDA" w:rsidRDefault="007647CC" w:rsidP="00583BDA">
      <w:pPr>
        <w:spacing w:after="0" w:line="276" w:lineRule="auto"/>
        <w:jc w:val="both"/>
        <w:rPr>
          <w:rFonts w:eastAsia="Times New Roman" w:cstheme="minorHAnsi"/>
          <w:sz w:val="24"/>
          <w:szCs w:val="24"/>
          <w:lang w:eastAsia="fr-FR"/>
        </w:rPr>
      </w:pPr>
    </w:p>
    <w:p w:rsidR="007647CC" w:rsidRDefault="007647CC" w:rsidP="00583BDA">
      <w:pPr>
        <w:spacing w:after="0" w:line="276" w:lineRule="auto"/>
        <w:jc w:val="both"/>
        <w:rPr>
          <w:rFonts w:eastAsia="Times New Roman" w:cstheme="minorHAnsi"/>
          <w:i/>
          <w:iCs/>
          <w:sz w:val="24"/>
          <w:szCs w:val="24"/>
          <w:lang w:eastAsia="fr-FR"/>
        </w:rPr>
      </w:pPr>
      <w:r w:rsidRPr="00583BDA">
        <w:rPr>
          <w:rFonts w:eastAsia="Times New Roman" w:cstheme="minorHAnsi"/>
          <w:sz w:val="24"/>
          <w:szCs w:val="24"/>
          <w:lang w:eastAsia="fr-FR"/>
        </w:rPr>
        <w:t xml:space="preserve">Par-delà la comparaison, Valérie </w:t>
      </w:r>
      <w:proofErr w:type="spellStart"/>
      <w:r w:rsidRPr="00583BDA">
        <w:rPr>
          <w:rFonts w:eastAsia="Times New Roman" w:cstheme="minorHAnsi"/>
          <w:sz w:val="24"/>
          <w:szCs w:val="24"/>
          <w:lang w:eastAsia="fr-FR"/>
        </w:rPr>
        <w:t>Theis</w:t>
      </w:r>
      <w:proofErr w:type="spellEnd"/>
      <w:r w:rsidRPr="00583BDA">
        <w:rPr>
          <w:rFonts w:eastAsia="Times New Roman" w:cstheme="minorHAnsi"/>
          <w:sz w:val="24"/>
          <w:szCs w:val="24"/>
          <w:lang w:eastAsia="fr-FR"/>
        </w:rPr>
        <w:t xml:space="preserve"> pointe également un trait de caractère de l’Église médiévale dont le pape pourrait s’inspirer : l’adaptabilité. En effet, selon elle, la réforme grégorienne montre la grande souplesse de l’Église pour continuer à garder son influence. </w:t>
      </w:r>
      <w:r w:rsidRPr="00583BDA">
        <w:rPr>
          <w:rFonts w:eastAsia="Times New Roman" w:cstheme="minorHAnsi"/>
          <w:i/>
          <w:iCs/>
          <w:sz w:val="24"/>
          <w:szCs w:val="24"/>
          <w:lang w:eastAsia="fr-FR"/>
        </w:rPr>
        <w:t>« </w:t>
      </w:r>
      <w:proofErr w:type="gramStart"/>
      <w:r w:rsidRPr="00583BDA">
        <w:rPr>
          <w:rFonts w:eastAsia="Times New Roman" w:cstheme="minorHAnsi"/>
          <w:i/>
          <w:iCs/>
          <w:sz w:val="24"/>
          <w:szCs w:val="24"/>
          <w:lang w:eastAsia="fr-FR"/>
        </w:rPr>
        <w:t>durant</w:t>
      </w:r>
      <w:proofErr w:type="gramEnd"/>
      <w:r w:rsidRPr="00583BDA">
        <w:rPr>
          <w:rFonts w:eastAsia="Times New Roman" w:cstheme="minorHAnsi"/>
          <w:i/>
          <w:iCs/>
          <w:sz w:val="24"/>
          <w:szCs w:val="24"/>
          <w:lang w:eastAsia="fr-FR"/>
        </w:rPr>
        <w:t xml:space="preserve"> le Moyen Âge l’Église n’arrête pas de se réinventer, de changer les règles pour s’adapter à la réalité de la société ».</w:t>
      </w:r>
      <w:r w:rsidRPr="00583BDA">
        <w:rPr>
          <w:rFonts w:eastAsia="Times New Roman" w:cstheme="minorHAnsi"/>
          <w:sz w:val="24"/>
          <w:szCs w:val="24"/>
          <w:lang w:eastAsia="fr-FR"/>
        </w:rPr>
        <w:t xml:space="preserve"> Et de conclure : </w:t>
      </w:r>
      <w:r w:rsidRPr="00583BDA">
        <w:rPr>
          <w:rFonts w:eastAsia="Times New Roman" w:cstheme="minorHAnsi"/>
          <w:i/>
          <w:iCs/>
          <w:sz w:val="24"/>
          <w:szCs w:val="24"/>
          <w:lang w:eastAsia="fr-FR"/>
        </w:rPr>
        <w:t>« c’est ce qui a toujours fait sa grande force et c’est ce qui semble lui manquer un peu aujourd’hui ».</w:t>
      </w:r>
    </w:p>
    <w:p w:rsidR="00583BDA" w:rsidRDefault="00583BDA" w:rsidP="00583BDA">
      <w:pPr>
        <w:spacing w:after="0" w:line="276" w:lineRule="auto"/>
        <w:jc w:val="both"/>
        <w:rPr>
          <w:rFonts w:eastAsia="Times New Roman" w:cstheme="minorHAnsi"/>
          <w:i/>
          <w:iCs/>
          <w:sz w:val="24"/>
          <w:szCs w:val="24"/>
          <w:lang w:eastAsia="fr-FR"/>
        </w:rPr>
      </w:pPr>
    </w:p>
    <w:p w:rsidR="003573F9" w:rsidRPr="00583BDA" w:rsidRDefault="003573F9" w:rsidP="00583BDA">
      <w:pPr>
        <w:spacing w:after="0" w:line="276" w:lineRule="auto"/>
        <w:jc w:val="both"/>
        <w:rPr>
          <w:rFonts w:ascii="Times New Roman" w:hAnsi="Times New Roman" w:cs="Times New Roman"/>
          <w:sz w:val="24"/>
          <w:szCs w:val="24"/>
        </w:rPr>
      </w:pPr>
    </w:p>
    <w:p w:rsidR="00583BDA" w:rsidRPr="00583BDA" w:rsidRDefault="00583BDA">
      <w:pPr>
        <w:spacing w:after="0" w:line="276" w:lineRule="auto"/>
        <w:jc w:val="both"/>
        <w:rPr>
          <w:rFonts w:ascii="Times New Roman" w:hAnsi="Times New Roman" w:cs="Times New Roman"/>
          <w:sz w:val="24"/>
          <w:szCs w:val="24"/>
        </w:rPr>
      </w:pPr>
    </w:p>
    <w:sectPr w:rsidR="00583BDA" w:rsidRPr="00583BDA" w:rsidSect="00583BDA">
      <w:pgSz w:w="11906" w:h="16838"/>
      <w:pgMar w:top="56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A99AB87-BB0D-4C62-B65A-DCD18704C867}"/>
    <w:embedBold r:id="rId2" w:fontKey="{7ED970BA-DD5B-4C89-BA95-4A86DE5F4F87}"/>
    <w:embedItalic r:id="rId3" w:fontKey="{F6E0D3EC-374E-413D-A924-672E2C9F804E}"/>
  </w:font>
  <w:font w:name="Calibri Light">
    <w:panose1 w:val="020F0302020204030204"/>
    <w:charset w:val="00"/>
    <w:family w:val="swiss"/>
    <w:pitch w:val="variable"/>
    <w:sig w:usb0="E0002AFF" w:usb1="C000247B" w:usb2="00000009" w:usb3="00000000" w:csb0="000001FF" w:csb1="00000000"/>
    <w:embedRegular r:id="rId4" w:fontKey="{DEB709D0-8E7B-45A8-AF50-14382B0D3A2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F6EB8"/>
    <w:multiLevelType w:val="multilevel"/>
    <w:tmpl w:val="C228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7CC"/>
    <w:rsid w:val="003573F9"/>
    <w:rsid w:val="00583BDA"/>
    <w:rsid w:val="007647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7647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7647C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47CC"/>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7647CC"/>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7647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7647CC"/>
    <w:rPr>
      <w:color w:val="0000FF"/>
      <w:u w:val="single"/>
    </w:rPr>
  </w:style>
  <w:style w:type="paragraph" w:customStyle="1" w:styleId="under-picture">
    <w:name w:val="under-picture"/>
    <w:basedOn w:val="Normal"/>
    <w:rsid w:val="007647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647CC"/>
    <w:rPr>
      <w:i/>
      <w:iCs/>
    </w:rPr>
  </w:style>
  <w:style w:type="paragraph" w:customStyle="1" w:styleId="lienlireaussi">
    <w:name w:val="lien_lire_aussi"/>
    <w:basedOn w:val="Normal"/>
    <w:rsid w:val="007647C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7647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7647C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47CC"/>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7647CC"/>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7647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7647CC"/>
    <w:rPr>
      <w:color w:val="0000FF"/>
      <w:u w:val="single"/>
    </w:rPr>
  </w:style>
  <w:style w:type="paragraph" w:customStyle="1" w:styleId="under-picture">
    <w:name w:val="under-picture"/>
    <w:basedOn w:val="Normal"/>
    <w:rsid w:val="007647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647CC"/>
    <w:rPr>
      <w:i/>
      <w:iCs/>
    </w:rPr>
  </w:style>
  <w:style w:type="paragraph" w:customStyle="1" w:styleId="lienlireaussi">
    <w:name w:val="lien_lire_aussi"/>
    <w:basedOn w:val="Normal"/>
    <w:rsid w:val="007647C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832411">
      <w:bodyDiv w:val="1"/>
      <w:marLeft w:val="0"/>
      <w:marRight w:val="0"/>
      <w:marTop w:val="0"/>
      <w:marBottom w:val="0"/>
      <w:divBdr>
        <w:top w:val="none" w:sz="0" w:space="0" w:color="auto"/>
        <w:left w:val="none" w:sz="0" w:space="0" w:color="auto"/>
        <w:bottom w:val="none" w:sz="0" w:space="0" w:color="auto"/>
        <w:right w:val="none" w:sz="0" w:space="0" w:color="auto"/>
      </w:divBdr>
      <w:divsChild>
        <w:div w:id="1787888314">
          <w:marLeft w:val="-225"/>
          <w:marRight w:val="-225"/>
          <w:marTop w:val="0"/>
          <w:marBottom w:val="0"/>
          <w:divBdr>
            <w:top w:val="none" w:sz="0" w:space="0" w:color="auto"/>
            <w:left w:val="none" w:sz="0" w:space="0" w:color="auto"/>
            <w:bottom w:val="none" w:sz="0" w:space="0" w:color="auto"/>
            <w:right w:val="none" w:sz="0" w:space="0" w:color="auto"/>
          </w:divBdr>
          <w:divsChild>
            <w:div w:id="2107336153">
              <w:marLeft w:val="-225"/>
              <w:marRight w:val="-225"/>
              <w:marTop w:val="0"/>
              <w:marBottom w:val="0"/>
              <w:divBdr>
                <w:top w:val="none" w:sz="0" w:space="0" w:color="auto"/>
                <w:left w:val="none" w:sz="0" w:space="0" w:color="auto"/>
                <w:bottom w:val="none" w:sz="0" w:space="0" w:color="auto"/>
                <w:right w:val="none" w:sz="0" w:space="0" w:color="auto"/>
              </w:divBdr>
              <w:divsChild>
                <w:div w:id="17527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32680">
          <w:marLeft w:val="-225"/>
          <w:marRight w:val="-225"/>
          <w:marTop w:val="0"/>
          <w:marBottom w:val="0"/>
          <w:divBdr>
            <w:top w:val="none" w:sz="0" w:space="0" w:color="auto"/>
            <w:left w:val="none" w:sz="0" w:space="0" w:color="auto"/>
            <w:bottom w:val="none" w:sz="0" w:space="0" w:color="auto"/>
            <w:right w:val="none" w:sz="0" w:space="0" w:color="auto"/>
          </w:divBdr>
          <w:divsChild>
            <w:div w:id="566916001">
              <w:marLeft w:val="0"/>
              <w:marRight w:val="0"/>
              <w:marTop w:val="0"/>
              <w:marBottom w:val="0"/>
              <w:divBdr>
                <w:top w:val="none" w:sz="0" w:space="0" w:color="auto"/>
                <w:left w:val="none" w:sz="0" w:space="0" w:color="auto"/>
                <w:bottom w:val="none" w:sz="0" w:space="0" w:color="auto"/>
                <w:right w:val="none" w:sz="0" w:space="0" w:color="auto"/>
              </w:divBdr>
            </w:div>
          </w:divsChild>
        </w:div>
        <w:div w:id="1564679266">
          <w:marLeft w:val="0"/>
          <w:marRight w:val="0"/>
          <w:marTop w:val="0"/>
          <w:marBottom w:val="0"/>
          <w:divBdr>
            <w:top w:val="none" w:sz="0" w:space="0" w:color="auto"/>
            <w:left w:val="none" w:sz="0" w:space="0" w:color="auto"/>
            <w:bottom w:val="none" w:sz="0" w:space="0" w:color="auto"/>
            <w:right w:val="none" w:sz="0" w:space="0" w:color="auto"/>
          </w:divBdr>
          <w:divsChild>
            <w:div w:id="1756316738">
              <w:marLeft w:val="0"/>
              <w:marRight w:val="0"/>
              <w:marTop w:val="0"/>
              <w:marBottom w:val="0"/>
              <w:divBdr>
                <w:top w:val="none" w:sz="0" w:space="0" w:color="auto"/>
                <w:left w:val="none" w:sz="0" w:space="0" w:color="auto"/>
                <w:bottom w:val="none" w:sz="0" w:space="0" w:color="auto"/>
                <w:right w:val="none" w:sz="0" w:space="0" w:color="auto"/>
              </w:divBdr>
              <w:divsChild>
                <w:div w:id="552548429">
                  <w:marLeft w:val="0"/>
                  <w:marRight w:val="0"/>
                  <w:marTop w:val="150"/>
                  <w:marBottom w:val="450"/>
                  <w:divBdr>
                    <w:top w:val="none" w:sz="0" w:space="0" w:color="auto"/>
                    <w:left w:val="none" w:sz="0" w:space="0" w:color="auto"/>
                    <w:bottom w:val="none" w:sz="0" w:space="0" w:color="auto"/>
                    <w:right w:val="none" w:sz="0" w:space="0" w:color="auto"/>
                  </w:divBdr>
                </w:div>
              </w:divsChild>
            </w:div>
            <w:div w:id="679430167">
              <w:marLeft w:val="0"/>
              <w:marRight w:val="0"/>
              <w:marTop w:val="0"/>
              <w:marBottom w:val="0"/>
              <w:divBdr>
                <w:top w:val="none" w:sz="0" w:space="0" w:color="auto"/>
                <w:left w:val="none" w:sz="0" w:space="0" w:color="auto"/>
                <w:bottom w:val="none" w:sz="0" w:space="0" w:color="auto"/>
                <w:right w:val="none" w:sz="0" w:space="0" w:color="auto"/>
              </w:divBdr>
              <w:divsChild>
                <w:div w:id="831871016">
                  <w:marLeft w:val="0"/>
                  <w:marRight w:val="0"/>
                  <w:marTop w:val="0"/>
                  <w:marBottom w:val="0"/>
                  <w:divBdr>
                    <w:top w:val="none" w:sz="0" w:space="0" w:color="auto"/>
                    <w:left w:val="none" w:sz="0" w:space="0" w:color="auto"/>
                    <w:bottom w:val="none" w:sz="0" w:space="0" w:color="auto"/>
                    <w:right w:val="none" w:sz="0" w:space="0" w:color="auto"/>
                  </w:divBdr>
                </w:div>
              </w:divsChild>
            </w:div>
            <w:div w:id="709451163">
              <w:marLeft w:val="0"/>
              <w:marRight w:val="0"/>
              <w:marTop w:val="0"/>
              <w:marBottom w:val="0"/>
              <w:divBdr>
                <w:top w:val="none" w:sz="0" w:space="0" w:color="auto"/>
                <w:left w:val="none" w:sz="0" w:space="0" w:color="auto"/>
                <w:bottom w:val="none" w:sz="0" w:space="0" w:color="auto"/>
                <w:right w:val="none" w:sz="0" w:space="0" w:color="auto"/>
              </w:divBdr>
              <w:divsChild>
                <w:div w:id="299070361">
                  <w:marLeft w:val="0"/>
                  <w:marRight w:val="0"/>
                  <w:marTop w:val="0"/>
                  <w:marBottom w:val="0"/>
                  <w:divBdr>
                    <w:top w:val="none" w:sz="0" w:space="0" w:color="auto"/>
                    <w:left w:val="none" w:sz="0" w:space="0" w:color="auto"/>
                    <w:bottom w:val="none" w:sz="0" w:space="0" w:color="auto"/>
                    <w:right w:val="none" w:sz="0" w:space="0" w:color="auto"/>
                  </w:divBdr>
                </w:div>
                <w:div w:id="1975600431">
                  <w:marLeft w:val="0"/>
                  <w:marRight w:val="0"/>
                  <w:marTop w:val="0"/>
                  <w:marBottom w:val="0"/>
                  <w:divBdr>
                    <w:top w:val="none" w:sz="0" w:space="0" w:color="auto"/>
                    <w:left w:val="none" w:sz="0" w:space="0" w:color="auto"/>
                    <w:bottom w:val="none" w:sz="0" w:space="0" w:color="auto"/>
                    <w:right w:val="none" w:sz="0" w:space="0" w:color="auto"/>
                  </w:divBdr>
                </w:div>
              </w:divsChild>
            </w:div>
            <w:div w:id="1610769952">
              <w:marLeft w:val="0"/>
              <w:marRight w:val="0"/>
              <w:marTop w:val="0"/>
              <w:marBottom w:val="0"/>
              <w:divBdr>
                <w:top w:val="none" w:sz="0" w:space="0" w:color="auto"/>
                <w:left w:val="none" w:sz="0" w:space="0" w:color="auto"/>
                <w:bottom w:val="none" w:sz="0" w:space="0" w:color="auto"/>
                <w:right w:val="none" w:sz="0" w:space="0" w:color="auto"/>
              </w:divBdr>
              <w:divsChild>
                <w:div w:id="758408946">
                  <w:marLeft w:val="0"/>
                  <w:marRight w:val="0"/>
                  <w:marTop w:val="0"/>
                  <w:marBottom w:val="0"/>
                  <w:divBdr>
                    <w:top w:val="none" w:sz="0" w:space="0" w:color="auto"/>
                    <w:left w:val="none" w:sz="0" w:space="0" w:color="auto"/>
                    <w:bottom w:val="none" w:sz="0" w:space="0" w:color="auto"/>
                    <w:right w:val="none" w:sz="0" w:space="0" w:color="auto"/>
                  </w:divBdr>
                </w:div>
                <w:div w:id="1397047690">
                  <w:marLeft w:val="0"/>
                  <w:marRight w:val="0"/>
                  <w:marTop w:val="0"/>
                  <w:marBottom w:val="0"/>
                  <w:divBdr>
                    <w:top w:val="none" w:sz="0" w:space="0" w:color="auto"/>
                    <w:left w:val="none" w:sz="0" w:space="0" w:color="auto"/>
                    <w:bottom w:val="none" w:sz="0" w:space="0" w:color="auto"/>
                    <w:right w:val="none" w:sz="0" w:space="0" w:color="auto"/>
                  </w:divBdr>
                </w:div>
              </w:divsChild>
            </w:div>
            <w:div w:id="20675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glise.catholique.fr/glossaire/simonie/"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595</Words>
  <Characters>3277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Degrond</dc:creator>
  <cp:lastModifiedBy>FAYOLLE</cp:lastModifiedBy>
  <cp:revision>2</cp:revision>
  <dcterms:created xsi:type="dcterms:W3CDTF">2018-11-29T17:41:00Z</dcterms:created>
  <dcterms:modified xsi:type="dcterms:W3CDTF">2018-11-29T17:41:00Z</dcterms:modified>
</cp:coreProperties>
</file>